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w:t>
            </w:r>
            <w:r w:rsidR="00892FCB" w:rsidRPr="00892FCB">
              <w:rPr>
                <w:rFonts w:asciiTheme="minorHAnsi" w:hAnsiTheme="minorHAnsi" w:cstheme="minorHAnsi"/>
                <w:sz w:val="20"/>
                <w:szCs w:val="20"/>
                <w:lang w:val="nn-NO"/>
              </w:rPr>
              <w:t>an…</w:t>
            </w:r>
          </w:p>
          <w:p w:rsidR="00892FCB" w:rsidRPr="00892FCB" w:rsidRDefault="00892FCB" w:rsidP="00D80F94">
            <w:pPr>
              <w:pStyle w:val="Listeavsnitt"/>
              <w:widowControl/>
              <w:numPr>
                <w:ilvl w:val="0"/>
                <w:numId w:val="6"/>
              </w:numPr>
              <w:spacing w:after="0"/>
              <w:rPr>
                <w:rFonts w:asciiTheme="minorHAnsi" w:hAnsiTheme="minorHAnsi" w:cstheme="minorHAnsi"/>
                <w:sz w:val="20"/>
                <w:szCs w:val="20"/>
                <w:lang w:val="nn-NO"/>
              </w:rPr>
            </w:pPr>
          </w:p>
          <w:p w:rsidR="00892FCB" w:rsidRDefault="00892FCB" w:rsidP="00892FCB">
            <w:pPr>
              <w:pStyle w:val="Listeavsnitt"/>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lastRenderedPageBreak/>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w:t>
            </w:r>
            <w:r w:rsidR="00892FCB">
              <w:rPr>
                <w:rFonts w:asciiTheme="minorHAnsi" w:hAnsiTheme="minorHAnsi" w:cstheme="minorHAnsi"/>
                <w:sz w:val="20"/>
                <w:szCs w:val="20"/>
                <w:lang w:val="nn-NO"/>
              </w:rPr>
              <w:t>eherskar….</w:t>
            </w:r>
          </w:p>
          <w:p w:rsidR="00892FCB" w:rsidRDefault="00892FCB" w:rsidP="00D80F94">
            <w:pPr>
              <w:pStyle w:val="Listeavsnitt"/>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D80F94">
              <w:rPr>
                <w:rFonts w:asciiTheme="minorHAnsi" w:hAnsiTheme="minorHAnsi" w:cstheme="minorHAnsi"/>
                <w:sz w:val="20"/>
                <w:szCs w:val="20"/>
                <w:lang w:val="nn-NO"/>
              </w:rPr>
              <w:t xml:space="preserve"> kan….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892FCB" w:rsidRPr="00726B2E" w:rsidRDefault="00892FCB" w:rsidP="002D26F0">
            <w:pPr>
              <w:rPr>
                <w:rFonts w:asciiTheme="minorHAnsi" w:hAnsiTheme="minorHAnsi" w:cstheme="minorHAnsi"/>
                <w:sz w:val="20"/>
                <w:szCs w:val="20"/>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892FCB"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w:t>
            </w:r>
          </w:p>
          <w:p w:rsidR="00D80F94" w:rsidRDefault="00D80F94" w:rsidP="00D80F94">
            <w:pPr>
              <w:pStyle w:val="Listeavsnitt"/>
              <w:widowControl/>
              <w:spacing w:after="0"/>
              <w:ind w:left="360"/>
              <w:rPr>
                <w:rFonts w:asciiTheme="minorHAnsi" w:hAnsiTheme="minorHAnsi" w:cstheme="minorHAnsi"/>
                <w:color w:val="002060"/>
                <w:sz w:val="20"/>
                <w:szCs w:val="20"/>
              </w:rPr>
            </w:pP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w:t>
            </w:r>
          </w:p>
          <w:p w:rsidR="00D80F94" w:rsidRDefault="00D80F94" w:rsidP="00D80F94">
            <w:pPr>
              <w:pStyle w:val="Listeavsnitt"/>
              <w:widowControl/>
              <w:numPr>
                <w:ilvl w:val="0"/>
                <w:numId w:val="6"/>
              </w:numPr>
              <w:spacing w:after="0"/>
              <w:rPr>
                <w:rFonts w:asciiTheme="minorHAnsi" w:hAnsiTheme="minorHAnsi" w:cstheme="minorHAnsi"/>
                <w:color w:val="002060"/>
                <w:sz w:val="20"/>
                <w:szCs w:val="20"/>
              </w:rPr>
            </w:pPr>
          </w:p>
          <w:p w:rsidR="00D80F94" w:rsidRPr="00892FCB" w:rsidRDefault="00D80F94" w:rsidP="00892FCB">
            <w:pPr>
              <w:widowControl/>
              <w:spacing w:after="0"/>
              <w:rPr>
                <w:rFonts w:asciiTheme="minorHAnsi" w:hAnsiTheme="minorHAnsi" w:cstheme="minorHAnsi"/>
                <w:color w:val="002060"/>
                <w:sz w:val="20"/>
                <w:szCs w:val="20"/>
              </w:rPr>
            </w:pPr>
          </w:p>
          <w:p w:rsidR="00892FCB" w:rsidRDefault="00892FCB" w:rsidP="002D26F0">
            <w:pPr>
              <w:widowControl/>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lastRenderedPageBreak/>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kobling"/>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kobling"/>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w:t>
            </w:r>
            <w:r w:rsidRPr="00E33BA5">
              <w:rPr>
                <w:rFonts w:asciiTheme="minorHAnsi" w:hAnsiTheme="minorHAnsi" w:cstheme="minorHAnsi"/>
                <w:b/>
                <w:bCs/>
                <w:sz w:val="24"/>
                <w:szCs w:val="24"/>
                <w:lang w:val="nn-NO"/>
              </w:rPr>
              <w:lastRenderedPageBreak/>
              <w:t xml:space="preserve">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lastRenderedPageBreak/>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4C16AD"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Obligatorisk oppmøte på </w:t>
            </w:r>
            <w:proofErr w:type="spellStart"/>
            <w:r>
              <w:rPr>
                <w:rFonts w:asciiTheme="minorHAnsi" w:hAnsiTheme="minorHAnsi" w:cstheme="minorHAnsi"/>
                <w:i/>
                <w:sz w:val="20"/>
                <w:szCs w:val="20"/>
                <w:lang w:val="nn-NO"/>
              </w:rPr>
              <w:t>labøvingar</w:t>
            </w:r>
            <w:proofErr w:type="spellEnd"/>
            <w:r>
              <w:rPr>
                <w:rFonts w:asciiTheme="minorHAnsi" w:hAnsiTheme="minorHAnsi" w:cstheme="minorHAnsi"/>
                <w:i/>
                <w:sz w:val="20"/>
                <w:szCs w:val="20"/>
                <w:lang w:val="nn-NO"/>
              </w:rPr>
              <w:t xml:space="preserve">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w:t>
            </w:r>
            <w:proofErr w:type="spellStart"/>
            <w:r>
              <w:rPr>
                <w:rFonts w:asciiTheme="minorHAnsi" w:hAnsiTheme="minorHAnsi" w:cstheme="minorHAnsi"/>
                <w:i/>
                <w:sz w:val="20"/>
                <w:szCs w:val="20"/>
                <w:lang w:val="nn-NO"/>
              </w:rPr>
              <w:t>Labrapport</w:t>
            </w:r>
            <w:proofErr w:type="spellEnd"/>
            <w:r>
              <w:rPr>
                <w:rFonts w:asciiTheme="minorHAnsi" w:hAnsiTheme="minorHAnsi" w:cstheme="minorHAnsi"/>
                <w:i/>
                <w:sz w:val="20"/>
                <w:szCs w:val="20"/>
                <w:lang w:val="nn-NO"/>
              </w:rPr>
              <w: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Assessment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A76CAD" w:rsidRDefault="00B32BA6" w:rsidP="002D26F0">
            <w:pPr>
              <w:rPr>
                <w:rFonts w:asciiTheme="minorHAnsi" w:hAnsiTheme="minorHAnsi" w:cstheme="minorHAnsi"/>
                <w:i/>
                <w:sz w:val="20"/>
                <w:szCs w:val="20"/>
                <w:lang w:val="nn-NO"/>
              </w:rPr>
            </w:pP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eavsnitt"/>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eavsnitt"/>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erk"/>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erk"/>
                      <w:rFonts w:asciiTheme="minorHAnsi" w:hAnsiTheme="minorHAnsi" w:cstheme="minorHAnsi"/>
                      <w:b w:val="0"/>
                      <w:sz w:val="20"/>
                      <w:szCs w:val="20"/>
                      <w:lang w:val="en"/>
                    </w:rPr>
                    <w:t>Non-programmable calculator, according to the faculty regulations</w:t>
                  </w:r>
                  <w:r>
                    <w:rPr>
                      <w:rStyle w:val="Sterk"/>
                      <w:rFonts w:asciiTheme="minorHAnsi" w:hAnsiTheme="minorHAnsi" w:cstheme="minorHAnsi"/>
                      <w:b w:val="0"/>
                      <w:sz w:val="20"/>
                      <w:szCs w:val="20"/>
                      <w:lang w:val="en"/>
                    </w:rPr>
                    <w:t xml:space="preserve">, </w:t>
                  </w:r>
                </w:p>
                <w:p w:rsidR="007602A1" w:rsidRDefault="007602A1" w:rsidP="007602A1">
                  <w:pPr>
                    <w:pStyle w:val="Default"/>
                    <w:rPr>
                      <w:rStyle w:val="Sterk"/>
                      <w:rFonts w:asciiTheme="minorHAnsi" w:hAnsiTheme="minorHAnsi" w:cstheme="minorHAnsi"/>
                      <w:b w:val="0"/>
                      <w:sz w:val="20"/>
                      <w:szCs w:val="20"/>
                      <w:lang w:val="en"/>
                    </w:rPr>
                  </w:pPr>
                  <w:r>
                    <w:rPr>
                      <w:rStyle w:val="Sterk"/>
                      <w:rFonts w:asciiTheme="minorHAnsi" w:hAnsiTheme="minorHAnsi" w:cstheme="minorHAnsi"/>
                      <w:b w:val="0"/>
                      <w:sz w:val="20"/>
                      <w:szCs w:val="20"/>
                      <w:lang w:val="en"/>
                    </w:rPr>
                    <w:t xml:space="preserve">b) </w:t>
                  </w:r>
                  <w:r w:rsidRPr="007602A1">
                    <w:rPr>
                      <w:rStyle w:val="Utheving"/>
                      <w:rFonts w:asciiTheme="minorHAnsi" w:hAnsiTheme="minorHAnsi" w:cstheme="minorHAnsi"/>
                      <w:i w:val="0"/>
                      <w:sz w:val="20"/>
                      <w:szCs w:val="20"/>
                      <w:lang w:val="en"/>
                    </w:rPr>
                    <w:t>All calculators,</w:t>
                  </w:r>
                  <w:r w:rsidRPr="007602A1">
                    <w:rPr>
                      <w:rStyle w:val="Sterk"/>
                      <w:rFonts w:asciiTheme="minorHAnsi" w:hAnsiTheme="minorHAnsi" w:cstheme="minorHAnsi"/>
                      <w:b w:val="0"/>
                      <w:sz w:val="20"/>
                      <w:szCs w:val="20"/>
                      <w:lang w:val="en"/>
                    </w:rPr>
                    <w:t xml:space="preserve"> according to the faculty regulations</w:t>
                  </w:r>
                  <w:r>
                    <w:rPr>
                      <w:rStyle w:val="Sterk"/>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erk"/>
                      <w:rFonts w:asciiTheme="minorHAnsi" w:hAnsiTheme="minorHAnsi" w:cstheme="minorHAnsi"/>
                      <w:b w:val="0"/>
                      <w:sz w:val="20"/>
                      <w:szCs w:val="20"/>
                      <w:lang w:val="en"/>
                    </w:rPr>
                    <w:t xml:space="preserve">c) </w:t>
                  </w:r>
                  <w:r w:rsidRPr="007602A1">
                    <w:rPr>
                      <w:rStyle w:val="Sterk"/>
                      <w:rFonts w:asciiTheme="minorHAnsi" w:hAnsiTheme="minorHAnsi" w:cstheme="minorHAnsi"/>
                      <w:b w:val="0"/>
                      <w:bCs w:val="0"/>
                      <w:sz w:val="20"/>
                      <w:szCs w:val="20"/>
                      <w:lang w:val="en-US"/>
                    </w:rPr>
                    <w:t>No calculator allowed</w:t>
                  </w:r>
                  <w:r>
                    <w:rPr>
                      <w:rStyle w:val="Sterk"/>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kobling"/>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bør skilje tydeleg mellom kjernelitteratur og </w:t>
            </w:r>
            <w:r w:rsidRPr="00A76CAD">
              <w:rPr>
                <w:rFonts w:asciiTheme="minorHAnsi" w:hAnsiTheme="minorHAnsi" w:cstheme="minorHAnsi"/>
                <w:sz w:val="20"/>
                <w:szCs w:val="20"/>
                <w:lang w:val="nn-NO"/>
              </w:rPr>
              <w:lastRenderedPageBreak/>
              <w:t>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bookmarkStart w:id="0" w:name="_GoBack"/>
      <w:bookmarkEnd w:id="0"/>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 xml:space="preserve">(Name of the </w:t>
      </w:r>
      <w:proofErr w:type="gramStart"/>
      <w:r w:rsidRPr="00726B2E">
        <w:rPr>
          <w:rFonts w:asciiTheme="minorHAnsi" w:hAnsiTheme="minorHAnsi" w:cstheme="minorHAnsi"/>
          <w:i/>
          <w:sz w:val="28"/>
          <w:szCs w:val="28"/>
        </w:rPr>
        <w:t>course,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B7B20"/>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0927-F4C2-4120-AA74-70B0CCB1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B70ADF84.dotm</Template>
  <TotalTime>5</TotalTime>
  <Pages>9</Pages>
  <Words>1542</Words>
  <Characters>10521</Characters>
  <Application>Microsoft Office Word</Application>
  <DocSecurity>0</DocSecurity>
  <Lines>87</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Birthe Gjerdevik</cp:lastModifiedBy>
  <cp:revision>5</cp:revision>
  <cp:lastPrinted>2014-11-06T13:45:00Z</cp:lastPrinted>
  <dcterms:created xsi:type="dcterms:W3CDTF">2016-11-08T14:54:00Z</dcterms:created>
  <dcterms:modified xsi:type="dcterms:W3CDTF">2016-11-09T11:52:00Z</dcterms:modified>
</cp:coreProperties>
</file>