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237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8788"/>
      </w:tblGrid>
      <w:tr w:rsidR="000E7907" w:rsidRPr="00A76CAD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A76CAD" w:rsidRDefault="000E7907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E05353" w:rsidRDefault="000E7907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A76CAD" w:rsidRDefault="000E7907" w:rsidP="000E7907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</w:t>
            </w:r>
          </w:p>
        </w:tc>
      </w:tr>
      <w:tr w:rsidR="000E7907" w:rsidRPr="00E33BA5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MATDID220-P</w:t>
            </w:r>
          </w:p>
        </w:tc>
      </w:tr>
      <w:tr w:rsidR="000E7907" w:rsidRPr="00E33BA5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2</w:t>
            </w:r>
          </w:p>
        </w:tc>
      </w:tr>
      <w:tr w:rsidR="000E7907" w:rsidRPr="00E33BA5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2</w:t>
            </w:r>
          </w:p>
        </w:tc>
      </w:tr>
      <w:tr w:rsidR="000E7907" w:rsidRPr="00E33BA5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lang w:val="nn-NO"/>
              </w:rPr>
              <w:t>Mathematics</w:t>
            </w:r>
            <w:proofErr w:type="spellEnd"/>
            <w:r>
              <w:rPr>
                <w:lang w:val="nn-NO"/>
              </w:rPr>
              <w:t xml:space="preserve"> Education 2</w:t>
            </w:r>
          </w:p>
        </w:tc>
      </w:tr>
      <w:tr w:rsidR="000E7907" w:rsidRPr="00A76CAD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E7907" w:rsidRPr="00A76CAD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E7907" w:rsidRPr="006C487F" w:rsidRDefault="000E7907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0E7907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</w:t>
            </w:r>
          </w:p>
        </w:tc>
      </w:tr>
      <w:tr w:rsidR="000E7907" w:rsidRPr="00996578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0E7907" w:rsidRPr="00B3115F" w:rsidTr="000E7907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0E7907" w:rsidRDefault="000E7907" w:rsidP="000E7907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0E7907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0E7907" w:rsidRPr="00D13CD7" w:rsidRDefault="000E7907" w:rsidP="000E7907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0E7907" w:rsidRPr="00081041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Default="000E7907" w:rsidP="000E7907">
            <w:pPr>
              <w:rPr>
                <w:bCs/>
                <w:iCs/>
                <w:lang w:val="nn-NO" w:eastAsia="nb-NO"/>
              </w:rPr>
            </w:pPr>
            <w:r>
              <w:rPr>
                <w:bCs/>
                <w:iCs/>
                <w:lang w:val="nn-NO"/>
              </w:rPr>
              <w:t xml:space="preserve">Dei to hovudelementa er: </w:t>
            </w:r>
          </w:p>
          <w:p w:rsidR="000E7907" w:rsidRDefault="000E7907" w:rsidP="000E7907">
            <w:pPr>
              <w:widowControl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851"/>
                <w:tab w:val="right" w:pos="6237"/>
              </w:tabs>
              <w:autoSpaceDN w:val="0"/>
              <w:spacing w:after="0" w:line="264" w:lineRule="auto"/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>Profesjonsutøvinga til matematikklærarar i samspel mellom teori og praksis</w:t>
            </w:r>
          </w:p>
          <w:p w:rsidR="000E7907" w:rsidRDefault="000E7907" w:rsidP="000E7907">
            <w:pPr>
              <w:widowControl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851"/>
                <w:tab w:val="right" w:pos="6237"/>
              </w:tabs>
              <w:autoSpaceDN w:val="0"/>
              <w:spacing w:after="0" w:line="264" w:lineRule="auto"/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 xml:space="preserve">Dokumentasjon og evaluering av matematikkundervisning, matematikklæring og matematiske kompetansar. </w:t>
            </w:r>
          </w:p>
          <w:p w:rsidR="000E7907" w:rsidRDefault="000E7907" w:rsidP="000E7907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lastRenderedPageBreak/>
              <w:t>Fokus er fortrinnsvis på vidaregåande skole</w:t>
            </w:r>
          </w:p>
          <w:p w:rsidR="000E7907" w:rsidRPr="00D13CD7" w:rsidRDefault="000E7907" w:rsidP="000E7907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0E7907" w:rsidRPr="00D13CD7" w:rsidRDefault="000E7907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The course aims… </w:t>
            </w:r>
          </w:p>
          <w:p w:rsidR="000E7907" w:rsidRPr="00D13CD7" w:rsidRDefault="000E7907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D13CD7">
              <w:rPr>
                <w:sz w:val="20"/>
                <w:szCs w:val="20"/>
              </w:rPr>
              <w:t xml:space="preserve"> </w:t>
            </w: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0E7907" w:rsidRPr="000E7907" w:rsidRDefault="000E7907" w:rsidP="000E7907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  <w:r>
              <w:rPr>
                <w:bCs/>
                <w:iCs/>
                <w:lang w:val="nn-NO"/>
              </w:rPr>
              <w:t xml:space="preserve">skal </w:t>
            </w:r>
            <w:r>
              <w:rPr>
                <w:lang w:val="nn-NO"/>
              </w:rPr>
              <w:t xml:space="preserve">utvikle sin matematikkdidaktiske innsikt i, og refleksjon over, kva som karakteriserer matematikk som vitskap og som </w:t>
            </w:r>
            <w:proofErr w:type="spellStart"/>
            <w:r>
              <w:rPr>
                <w:lang w:val="nn-NO"/>
              </w:rPr>
              <w:t>skolefag</w:t>
            </w:r>
            <w:proofErr w:type="spellEnd"/>
            <w:r>
              <w:rPr>
                <w:lang w:val="nn-NO"/>
              </w:rPr>
              <w:t>, og kva konsekvensar dette har for matematikkundervisninga si praksis med omsyn til mål, innhald og metodar. Spesielt skal kandidaten utvikle kunnskapar om: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samspelet mellom innhaldet og progresjonen i elevane sin kunnskap og kompetansar innanfor matematikk kopla til læraren si profesjonsutøving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samspelet mellom innhaldet og progresjonen i elevane sin kunnskap og kompetansar innanfor matematikk kopla til forskingsbasert matematikkdidaktisk teori</w:t>
            </w:r>
          </w:p>
          <w:p w:rsidR="000E7907" w:rsidRPr="00D13CD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0E7907" w:rsidRPr="000E7907" w:rsidRDefault="000E7907" w:rsidP="000E7907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bCs/>
                <w:iCs/>
                <w:lang w:val="nn-NO"/>
              </w:rPr>
              <w:t xml:space="preserve">skal </w:t>
            </w:r>
            <w:r>
              <w:rPr>
                <w:lang w:val="nn-NO"/>
              </w:rPr>
              <w:t xml:space="preserve">utvikle en teoretisk bakgrunn tett </w:t>
            </w:r>
            <w:proofErr w:type="spellStart"/>
            <w:r>
              <w:rPr>
                <w:lang w:val="nn-NO"/>
              </w:rPr>
              <w:t>knytta</w:t>
            </w:r>
            <w:proofErr w:type="spellEnd"/>
            <w:r>
              <w:rPr>
                <w:lang w:val="nn-NO"/>
              </w:rPr>
              <w:t xml:space="preserve"> til deira praktiske erfaring med tanke på at kunne: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legge til rette for og gjennomføre variert og tilpassa undervisning som understøtter elevene si matematikklæring i forskjellige fasar  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legge til rette for og gjennomføre undervisning som understøtter elevene si matematikklæring med omsyn til utvikling og </w:t>
            </w:r>
            <w:proofErr w:type="spellStart"/>
            <w:r>
              <w:rPr>
                <w:lang w:val="nn-NO"/>
              </w:rPr>
              <w:t>fremadretta</w:t>
            </w:r>
            <w:proofErr w:type="spellEnd"/>
            <w:r>
              <w:rPr>
                <w:lang w:val="nn-NO"/>
              </w:rPr>
              <w:t xml:space="preserve"> evaluering av undervisninga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Dokumentere og evaluere matematikkundervisning, matematikklæring og matematiske kompetansar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Dessutan utvikle deltakaranes kunnskapar og </w:t>
            </w:r>
            <w:proofErr w:type="spellStart"/>
            <w:r>
              <w:rPr>
                <w:lang w:val="nn-NO"/>
              </w:rPr>
              <w:t>kommunikative</w:t>
            </w:r>
            <w:proofErr w:type="spellEnd"/>
            <w:r>
              <w:rPr>
                <w:lang w:val="nn-NO"/>
              </w:rPr>
              <w:t xml:space="preserve"> kompetansar med tanke på at kunne gjennomføre faglege drøftingar av</w:t>
            </w:r>
          </w:p>
          <w:p w:rsidR="000E7907" w:rsidRDefault="000E7907" w:rsidP="000E7907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mål med undervisninga</w:t>
            </w:r>
          </w:p>
          <w:p w:rsidR="000E7907" w:rsidRDefault="000E7907" w:rsidP="000E7907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kvalitet i undervisninga</w:t>
            </w:r>
          </w:p>
          <w:p w:rsidR="000E7907" w:rsidRDefault="000E7907" w:rsidP="000E7907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utvikling av undervisninga</w:t>
            </w:r>
          </w:p>
          <w:p w:rsidR="000E7907" w:rsidRDefault="000E7907" w:rsidP="000E7907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utfordringar </w:t>
            </w:r>
            <w:proofErr w:type="spellStart"/>
            <w:r>
              <w:rPr>
                <w:lang w:val="nn-NO"/>
              </w:rPr>
              <w:t>knytta</w:t>
            </w:r>
            <w:proofErr w:type="spellEnd"/>
            <w:r>
              <w:rPr>
                <w:lang w:val="nn-NO"/>
              </w:rPr>
              <w:t xml:space="preserve"> til undervisninga </w:t>
            </w:r>
          </w:p>
          <w:p w:rsidR="000E7907" w:rsidRPr="00D13CD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0E7907" w:rsidRPr="000E7907" w:rsidRDefault="000E7907" w:rsidP="000E7907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bCs/>
                <w:iCs/>
                <w:lang w:val="nn-NO"/>
              </w:rPr>
              <w:t xml:space="preserve">skal </w:t>
            </w:r>
            <w:r>
              <w:rPr>
                <w:lang w:val="nn-NO"/>
              </w:rPr>
              <w:t>bli i stand til å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knytte matematikkdidaktisk teori saman med undervisningspraksis i forskjellige former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gjennomføre kritiske refleksjonar over læraranes profesjonsutøving</w:t>
            </w:r>
          </w:p>
          <w:p w:rsidR="000E7907" w:rsidRDefault="000E7907" w:rsidP="000E7907">
            <w:pPr>
              <w:pStyle w:val="Listeavsnitt"/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identifisere </w:t>
            </w:r>
            <w:proofErr w:type="spellStart"/>
            <w:r>
              <w:rPr>
                <w:lang w:val="nn-NO"/>
              </w:rPr>
              <w:t>læringspotensialer</w:t>
            </w:r>
            <w:proofErr w:type="spellEnd"/>
            <w:r>
              <w:rPr>
                <w:lang w:val="nn-NO"/>
              </w:rPr>
              <w:t xml:space="preserve"> hos så vel elevar som lærarar </w:t>
            </w:r>
          </w:p>
          <w:p w:rsidR="000E7907" w:rsidRPr="000E7907" w:rsidRDefault="000E7907" w:rsidP="000E7907">
            <w:pPr>
              <w:pStyle w:val="Listeavsnitt"/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 w:rsidRPr="000E7907">
              <w:rPr>
                <w:lang w:val="nn-NO"/>
              </w:rPr>
              <w:t>anvise grunngitte retningslinjer for kvalitetsutvikling i forskjellige former for undervisningspraksis</w:t>
            </w:r>
          </w:p>
          <w:p w:rsidR="000E790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0E7907" w:rsidRPr="00837034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0E7907" w:rsidRPr="00837034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is able to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0E7907" w:rsidRPr="00D13CD7" w:rsidRDefault="000E790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0E7907" w:rsidRPr="00135475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0E7907" w:rsidRPr="00D13CD7" w:rsidRDefault="000E7907" w:rsidP="000E7907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837034" w:rsidRDefault="000E7907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</w:tc>
      </w:tr>
      <w:tr w:rsidR="000E7907" w:rsidRPr="00A76CAD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 xml:space="preserve">Recommended previous 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EB_ANBKRAV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lang w:val="nn-NO"/>
              </w:rPr>
              <w:t>MATDID210-P</w:t>
            </w: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0E7907" w:rsidRPr="00D13CD7" w:rsidRDefault="000E7907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0E7907" w:rsidRPr="00D13CD7" w:rsidRDefault="000E7907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0E7907" w:rsidRPr="00D13CD7" w:rsidRDefault="000E7907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0E7907" w:rsidRPr="00D13CD7" w:rsidRDefault="000E7907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9C1186" w:rsidRDefault="000E7907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0E7907" w:rsidRPr="00316559" w:rsidTr="000E7907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907" w:rsidRPr="000E7907" w:rsidRDefault="000E7907" w:rsidP="000E7907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E7907">
              <w:rPr>
                <w:lang w:val="nn-NO"/>
              </w:rPr>
              <w:t>40 undervisingstimer (førelesingar, seminar og gruppearbeid)</w:t>
            </w:r>
          </w:p>
        </w:tc>
      </w:tr>
      <w:tr w:rsidR="000E7907" w:rsidRPr="00316559" w:rsidTr="000E7907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8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bCs/>
                <w:iCs/>
              </w:rPr>
              <w:t>Tre</w:t>
            </w:r>
            <w:r>
              <w:rPr>
                <w:bCs/>
                <w:iCs/>
                <w:color w:val="FF0000"/>
              </w:rPr>
              <w:t xml:space="preserve"> </w:t>
            </w:r>
            <w:proofErr w:type="spellStart"/>
            <w:r>
              <w:rPr>
                <w:bCs/>
                <w:iCs/>
              </w:rPr>
              <w:t>obligatoriske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oppgaver</w:t>
            </w:r>
            <w:proofErr w:type="spellEnd"/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aktiviteter</w:t>
            </w:r>
            <w:proofErr w:type="spellEnd"/>
            <w:r>
              <w:rPr>
                <w:bCs/>
                <w:iCs/>
              </w:rPr>
              <w:t xml:space="preserve">. </w:t>
            </w:r>
            <w:r>
              <w:rPr>
                <w:lang w:val="nn-NO"/>
              </w:rPr>
              <w:t>(Gyldig i fire semester; inneverande og tre påfølgjande)</w:t>
            </w: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0E7907" w:rsidRDefault="000E7907" w:rsidP="000E7907">
            <w:pPr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bookmarkStart w:id="0" w:name="_GoBack"/>
            <w:r w:rsidRPr="00697C86">
              <w:rPr>
                <w:lang w:val="nn-NO"/>
              </w:rPr>
              <w:t>Prosjektoppgåve eller 30 minutt munnleg eksamen</w:t>
            </w:r>
            <w:bookmarkEnd w:id="0"/>
          </w:p>
        </w:tc>
      </w:tr>
      <w:tr w:rsidR="000E7907" w:rsidRPr="005474E7" w:rsidTr="000E7907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4415B3" w:rsidRDefault="000E7907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0E7907" w:rsidRPr="00D13CD7" w:rsidRDefault="000E7907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0E7907" w:rsidRPr="00431AB6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0E7907" w:rsidRPr="003C032B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lastRenderedPageBreak/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EB_EKSSEM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0E7907">
            <w:pPr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0E7907" w:rsidRPr="00D13CD7" w:rsidRDefault="000E7907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E7907" w:rsidRPr="006C487F" w:rsidRDefault="000E7907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0E7907" w:rsidRPr="00E33BA5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0E7907" w:rsidRPr="006C487F" w:rsidRDefault="000E7907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0E7907" w:rsidRPr="00622176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0E7907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psykologiske fakultet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har ansvar for fagleg innhald og oppbygging av studiet og for kvaliteten på studieprogrammet.</w:t>
            </w:r>
          </w:p>
          <w:p w:rsidR="000E7907" w:rsidRPr="006C487F" w:rsidRDefault="000E7907" w:rsidP="000E7907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Faculty of Psychology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E7907" w:rsidRPr="00A76CAD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0E7907" w:rsidRPr="00D13CD7" w:rsidRDefault="000E7907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6C487F" w:rsidRDefault="000E7907" w:rsidP="000E7907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Emneansvarleg og administrativ kontaktperson finn du på Mitt UiB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0E7907" w:rsidRPr="00A76CAD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 naturvitskapelege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Matematisk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institutt har det admin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istrative ansvaret for emnet</w:t>
            </w:r>
          </w:p>
        </w:tc>
      </w:tr>
      <w:tr w:rsidR="000E7907" w:rsidRPr="00316559" w:rsidTr="000E7907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0E7907" w:rsidRPr="00D13CD7" w:rsidRDefault="000E790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07" w:rsidRPr="00D13CD7" w:rsidRDefault="000E7907" w:rsidP="000E7907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0E7907" w:rsidRPr="00D13CD7" w:rsidRDefault="000E7907" w:rsidP="000E7907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8" w:history="1">
              <w:r w:rsidRPr="00274F53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Studierettleiar@math.uib.no</w:t>
              </w:r>
            </w:hyperlink>
          </w:p>
          <w:p w:rsidR="000E7907" w:rsidRPr="00D13CD7" w:rsidRDefault="000E7907" w:rsidP="000E7907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28 41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4D7F" w:rsidRDefault="00AF4D7F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697C86" w:rsidRPr="00697C86">
        <w:rPr>
          <w:rFonts w:asciiTheme="minorHAnsi" w:hAnsiTheme="minorHAnsi" w:cstheme="minorHAnsi"/>
          <w:sz w:val="32"/>
          <w:szCs w:val="32"/>
          <w:lang w:val="nn-NO"/>
        </w:rPr>
        <w:t>Matematikkdidaktikk 2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697C86" w:rsidRPr="00697C86">
        <w:rPr>
          <w:rFonts w:asciiTheme="minorHAnsi" w:hAnsiTheme="minorHAnsi" w:cstheme="minorHAnsi"/>
          <w:sz w:val="32"/>
          <w:szCs w:val="32"/>
        </w:rPr>
        <w:t>Matematikkdidaktikk</w:t>
      </w:r>
      <w:proofErr w:type="spellEnd"/>
      <w:r w:rsidR="00697C86" w:rsidRPr="00697C86">
        <w:rPr>
          <w:rFonts w:asciiTheme="minorHAnsi" w:hAnsiTheme="minorHAnsi" w:cstheme="minorHAnsi"/>
          <w:sz w:val="32"/>
          <w:szCs w:val="32"/>
        </w:rPr>
        <w:t xml:space="preserve"> 2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697C86" w:rsidRPr="00697C86">
        <w:rPr>
          <w:rFonts w:asciiTheme="minorHAnsi" w:hAnsiTheme="minorHAnsi" w:cstheme="minorHAnsi"/>
          <w:sz w:val="32"/>
          <w:szCs w:val="32"/>
        </w:rPr>
        <w:t>Mathematics Education 2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697C86" w:rsidRPr="00A76CAD" w:rsidRDefault="00697C86" w:rsidP="00697C86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asciiTheme="minorHAnsi" w:hAnsiTheme="minorHAnsi" w:cstheme="minorHAnsi"/>
          <w:i/>
          <w:sz w:val="24"/>
          <w:szCs w:val="24"/>
          <w:lang w:val="nn-NO"/>
        </w:rPr>
        <w:t>MN-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fakultet: 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 xml:space="preserve">Studiestyret 31.10.16, Fakultetsstyret 10.11.16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697C86" w:rsidRPr="00697C86">
        <w:rPr>
          <w:rFonts w:asciiTheme="minorHAnsi" w:hAnsiTheme="minorHAnsi" w:cstheme="minorHAnsi"/>
          <w:i/>
          <w:sz w:val="24"/>
          <w:szCs w:val="24"/>
          <w:lang w:val="nn-NO"/>
        </w:rPr>
        <w:t>03.02.16 (</w:t>
      </w:r>
      <w:proofErr w:type="spellStart"/>
      <w:r w:rsidR="00697C86" w:rsidRPr="00697C86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697C86" w:rsidRPr="00697C86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av </w:t>
      </w:r>
      <w:proofErr w:type="spellStart"/>
      <w:r w:rsidR="00697C86" w:rsidRPr="00697C86">
        <w:rPr>
          <w:rFonts w:asciiTheme="minorHAnsi" w:hAnsiTheme="minorHAnsi" w:cstheme="minorHAnsi"/>
          <w:i/>
          <w:sz w:val="24"/>
          <w:szCs w:val="24"/>
          <w:lang w:val="nn-NO"/>
        </w:rPr>
        <w:t>Lærerutdanningsutvalget</w:t>
      </w:r>
      <w:proofErr w:type="spellEnd"/>
      <w:r w:rsidR="00697C86" w:rsidRPr="00697C8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– skal </w:t>
      </w:r>
      <w:proofErr w:type="spellStart"/>
      <w:r w:rsidR="00697C86" w:rsidRPr="00697C86">
        <w:rPr>
          <w:rFonts w:asciiTheme="minorHAnsi" w:hAnsiTheme="minorHAnsi" w:cstheme="minorHAnsi"/>
          <w:i/>
          <w:sz w:val="24"/>
          <w:szCs w:val="24"/>
          <w:lang w:val="nn-NO"/>
        </w:rPr>
        <w:t>videresendes</w:t>
      </w:r>
      <w:proofErr w:type="spellEnd"/>
      <w:r w:rsidR="00697C86" w:rsidRPr="00697C8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til Kjemisk institutt for godkjenning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9"/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0E7907">
      <w:rPr>
        <w:lang w:val="nb-NO"/>
      </w:rPr>
      <w:t>MATDID220-P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5756B98"/>
    <w:multiLevelType w:val="hybridMultilevel"/>
    <w:tmpl w:val="C5B89D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3729D"/>
    <w:multiLevelType w:val="hybridMultilevel"/>
    <w:tmpl w:val="8F1CCA9C"/>
    <w:lvl w:ilvl="0" w:tplc="5308CA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12D17"/>
    <w:multiLevelType w:val="hybridMultilevel"/>
    <w:tmpl w:val="25BC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9B1FA7"/>
    <w:multiLevelType w:val="hybridMultilevel"/>
    <w:tmpl w:val="F8B82F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1CC06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E7907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97C86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math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FBDA-FDE2-40E5-9354-7F9612FD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C96F1C9B.dotm</Template>
  <TotalTime>4</TotalTime>
  <Pages>6</Pages>
  <Words>738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Marianne Jensen</cp:lastModifiedBy>
  <cp:revision>3</cp:revision>
  <cp:lastPrinted>2014-11-06T13:45:00Z</cp:lastPrinted>
  <dcterms:created xsi:type="dcterms:W3CDTF">2017-02-06T15:45:00Z</dcterms:created>
  <dcterms:modified xsi:type="dcterms:W3CDTF">2017-02-06T17:14:00Z</dcterms:modified>
</cp:coreProperties>
</file>